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46607B" w14:paraId="37C6A203" w14:textId="77777777" w:rsidTr="0E5707B7">
        <w:tc>
          <w:tcPr>
            <w:tcW w:w="1560" w:type="dxa"/>
            <w:vAlign w:val="center"/>
          </w:tcPr>
          <w:p w14:paraId="0D5A35A8" w14:textId="175290A1" w:rsidR="0046607B" w:rsidRPr="009404C2" w:rsidRDefault="0046607B" w:rsidP="009404C2">
            <w:pPr>
              <w:jc w:val="center"/>
              <w:rPr>
                <w:b/>
                <w:bCs/>
              </w:rPr>
            </w:pPr>
            <w:bookmarkStart w:id="0" w:name="_Hlk164940051"/>
            <w:r w:rsidRPr="009404C2">
              <w:rPr>
                <w:b/>
                <w:bCs/>
              </w:rPr>
              <w:t xml:space="preserve">Axe </w:t>
            </w:r>
            <w:r w:rsidR="001279A2">
              <w:rPr>
                <w:b/>
                <w:bCs/>
              </w:rPr>
              <w:t>3</w:t>
            </w:r>
          </w:p>
        </w:tc>
        <w:tc>
          <w:tcPr>
            <w:tcW w:w="8505" w:type="dxa"/>
          </w:tcPr>
          <w:p w14:paraId="58C92614" w14:textId="0BD83D74" w:rsidR="0046607B" w:rsidRPr="00706D57" w:rsidRDefault="0067331E" w:rsidP="00F17D99">
            <w:pPr>
              <w:pStyle w:val="Default"/>
              <w:jc w:val="center"/>
              <w:rPr>
                <w:rFonts w:asciiTheme="minorHAnsi" w:hAnsiTheme="minorHAnsi" w:cstheme="minorBidi"/>
                <w:b/>
                <w:bCs/>
                <w:color w:val="auto"/>
                <w:kern w:val="2"/>
                <w:sz w:val="22"/>
                <w:szCs w:val="22"/>
              </w:rPr>
            </w:pPr>
            <w:r w:rsidRPr="0067331E">
              <w:rPr>
                <w:rFonts w:asciiTheme="minorHAnsi" w:hAnsiTheme="minorHAnsi" w:cstheme="minorBidi"/>
                <w:b/>
                <w:bCs/>
                <w:color w:val="auto"/>
                <w:kern w:val="2"/>
                <w:sz w:val="22"/>
                <w:szCs w:val="22"/>
              </w:rPr>
              <w:t>Accompagnement des secteurs d’activité non agricole</w:t>
            </w:r>
          </w:p>
        </w:tc>
      </w:tr>
      <w:tr w:rsidR="0046607B" w14:paraId="3E974957" w14:textId="77777777" w:rsidTr="0E5707B7">
        <w:trPr>
          <w:trHeight w:val="556"/>
        </w:trPr>
        <w:tc>
          <w:tcPr>
            <w:tcW w:w="1560" w:type="dxa"/>
            <w:vAlign w:val="center"/>
          </w:tcPr>
          <w:p w14:paraId="5A421146" w14:textId="6111FB91" w:rsidR="0046607B" w:rsidRPr="009404C2" w:rsidRDefault="0046607B" w:rsidP="009404C2">
            <w:pPr>
              <w:jc w:val="center"/>
              <w:rPr>
                <w:b/>
                <w:bCs/>
              </w:rPr>
            </w:pPr>
            <w:r w:rsidRPr="009404C2">
              <w:rPr>
                <w:b/>
                <w:bCs/>
              </w:rPr>
              <w:t xml:space="preserve">Action </w:t>
            </w:r>
            <w:r w:rsidR="00F64F29">
              <w:rPr>
                <w:b/>
                <w:bCs/>
              </w:rPr>
              <w:t>2</w:t>
            </w:r>
          </w:p>
        </w:tc>
        <w:tc>
          <w:tcPr>
            <w:tcW w:w="8505" w:type="dxa"/>
            <w:vAlign w:val="center"/>
          </w:tcPr>
          <w:p w14:paraId="652BC31B" w14:textId="28E99175" w:rsidR="00F64F29" w:rsidRDefault="00F64F29" w:rsidP="00336323">
            <w:pPr>
              <w:jc w:val="center"/>
              <w:rPr>
                <w:b/>
                <w:bCs/>
              </w:rPr>
            </w:pPr>
            <w:r w:rsidRPr="00706D57">
              <w:rPr>
                <w:b/>
                <w:bCs/>
              </w:rPr>
              <w:t xml:space="preserve">Sensibiliser et informer </w:t>
            </w:r>
            <w:r w:rsidR="003D79D3" w:rsidRPr="00706D57">
              <w:rPr>
                <w:b/>
                <w:bCs/>
              </w:rPr>
              <w:t>l</w:t>
            </w:r>
            <w:r w:rsidR="0055103D">
              <w:rPr>
                <w:b/>
                <w:bCs/>
              </w:rPr>
              <w:t xml:space="preserve">’ensemble des </w:t>
            </w:r>
            <w:r w:rsidR="0031710E" w:rsidRPr="00706D57">
              <w:rPr>
                <w:b/>
                <w:bCs/>
              </w:rPr>
              <w:t>acteurs sur les pollinisateurs sauvages</w:t>
            </w:r>
          </w:p>
          <w:p w14:paraId="339D8F82" w14:textId="2721704C" w:rsidR="0046607B" w:rsidRPr="00FB74B4" w:rsidRDefault="000F7771" w:rsidP="000F7771">
            <w:pPr>
              <w:jc w:val="center"/>
            </w:pPr>
            <w:r w:rsidRPr="000F7771">
              <w:t>- RBA et FREDON GE -</w:t>
            </w:r>
          </w:p>
        </w:tc>
      </w:tr>
      <w:tr w:rsidR="0046607B" w14:paraId="29833F62" w14:textId="77777777" w:rsidTr="0E5707B7">
        <w:tc>
          <w:tcPr>
            <w:tcW w:w="1560" w:type="dxa"/>
            <w:vAlign w:val="center"/>
          </w:tcPr>
          <w:p w14:paraId="4CE563A6" w14:textId="77777777" w:rsidR="0046607B" w:rsidRPr="009404C2" w:rsidRDefault="0046607B" w:rsidP="009404C2">
            <w:pPr>
              <w:jc w:val="center"/>
              <w:rPr>
                <w:b/>
                <w:bCs/>
              </w:rPr>
            </w:pPr>
            <w:r w:rsidRPr="009404C2">
              <w:rPr>
                <w:b/>
                <w:bCs/>
              </w:rPr>
              <w:t>Priorité</w:t>
            </w:r>
          </w:p>
        </w:tc>
        <w:tc>
          <w:tcPr>
            <w:tcW w:w="8505" w:type="dxa"/>
          </w:tcPr>
          <w:p w14:paraId="172CB75E" w14:textId="4AC97122" w:rsidR="0046607B" w:rsidRPr="009A19FC" w:rsidRDefault="003A0CFE" w:rsidP="00906905">
            <w:pPr>
              <w:rPr>
                <w:b/>
                <w:bCs/>
                <w:color w:val="FF0000"/>
              </w:rPr>
            </w:pPr>
            <w:r w:rsidRPr="009A19FC">
              <w:rPr>
                <w:b/>
                <w:bCs/>
              </w:rPr>
              <w:t>1</w:t>
            </w:r>
          </w:p>
        </w:tc>
      </w:tr>
      <w:tr w:rsidR="0046607B" w14:paraId="2D98E5EA" w14:textId="77777777" w:rsidTr="0E5707B7">
        <w:tc>
          <w:tcPr>
            <w:tcW w:w="1560" w:type="dxa"/>
            <w:vAlign w:val="center"/>
          </w:tcPr>
          <w:p w14:paraId="6920D17E" w14:textId="77777777" w:rsidR="0046607B" w:rsidRPr="009404C2" w:rsidRDefault="0046607B" w:rsidP="009404C2">
            <w:pPr>
              <w:jc w:val="center"/>
              <w:rPr>
                <w:b/>
                <w:bCs/>
              </w:rPr>
            </w:pPr>
            <w:r w:rsidRPr="009404C2">
              <w:rPr>
                <w:b/>
                <w:bCs/>
              </w:rPr>
              <w:t>Objectifs</w:t>
            </w:r>
          </w:p>
        </w:tc>
        <w:tc>
          <w:tcPr>
            <w:tcW w:w="8505" w:type="dxa"/>
          </w:tcPr>
          <w:p w14:paraId="5E14630C" w14:textId="1DEF0CDF" w:rsidR="00C2730A" w:rsidRPr="0073406A" w:rsidRDefault="00442DB1" w:rsidP="0031710E">
            <w:pPr>
              <w:pStyle w:val="Paragraphedeliste"/>
              <w:numPr>
                <w:ilvl w:val="0"/>
                <w:numId w:val="16"/>
              </w:numPr>
              <w:jc w:val="both"/>
            </w:pPr>
            <w:r w:rsidRPr="0073406A">
              <w:t xml:space="preserve">Recenser tous les acteurs </w:t>
            </w:r>
            <w:r w:rsidR="00C2730A" w:rsidRPr="0073406A">
              <w:t>impliqués</w:t>
            </w:r>
            <w:r w:rsidR="001834BC" w:rsidRPr="0073406A">
              <w:t xml:space="preserve"> </w:t>
            </w:r>
            <w:r w:rsidRPr="0073406A">
              <w:t>et les dispositifs existants</w:t>
            </w:r>
            <w:r w:rsidR="00147EB2" w:rsidRPr="0073406A">
              <w:t>.</w:t>
            </w:r>
            <w:r w:rsidR="00C2730A" w:rsidRPr="0073406A">
              <w:t xml:space="preserve"> </w:t>
            </w:r>
          </w:p>
          <w:p w14:paraId="69BF48D3" w14:textId="21F738D2" w:rsidR="00442DB1" w:rsidRPr="0073406A" w:rsidRDefault="00CF7327" w:rsidP="0031710E">
            <w:pPr>
              <w:pStyle w:val="Paragraphedeliste"/>
              <w:numPr>
                <w:ilvl w:val="0"/>
                <w:numId w:val="16"/>
              </w:numPr>
              <w:jc w:val="both"/>
            </w:pPr>
            <w:r w:rsidRPr="0073406A">
              <w:t>C</w:t>
            </w:r>
            <w:r w:rsidR="00442DB1" w:rsidRPr="0073406A">
              <w:t xml:space="preserve">entraliser les données </w:t>
            </w:r>
            <w:r w:rsidRPr="0073406A">
              <w:t xml:space="preserve">disponibles </w:t>
            </w:r>
            <w:r w:rsidR="00442DB1" w:rsidRPr="0073406A">
              <w:t>afin de les rendre accessibles à tous</w:t>
            </w:r>
            <w:r w:rsidR="00147EB2" w:rsidRPr="0073406A">
              <w:t>.</w:t>
            </w:r>
          </w:p>
          <w:p w14:paraId="3AAFA41C" w14:textId="3B286CF8" w:rsidR="00120FA2" w:rsidRPr="0073406A" w:rsidRDefault="0E5707B7" w:rsidP="0031710E">
            <w:pPr>
              <w:pStyle w:val="Paragraphedeliste"/>
              <w:numPr>
                <w:ilvl w:val="0"/>
                <w:numId w:val="16"/>
              </w:numPr>
              <w:jc w:val="both"/>
            </w:pPr>
            <w:r w:rsidRPr="0073406A">
              <w:t>Sensibiliser et informer l’ensemble des acteurs professionnels (entreprises...) sur la connaissance des pollinisateurs sauvages et les bonnes pratiques de gestion (couplage axe 3 - actions 1.a et 1.b).</w:t>
            </w:r>
          </w:p>
          <w:p w14:paraId="4A9306A3" w14:textId="462CC8E7" w:rsidR="00C2730A" w:rsidRPr="0073406A" w:rsidRDefault="00C2730A" w:rsidP="0031710E">
            <w:pPr>
              <w:pStyle w:val="Paragraphedeliste"/>
              <w:numPr>
                <w:ilvl w:val="0"/>
                <w:numId w:val="16"/>
              </w:numPr>
              <w:jc w:val="both"/>
            </w:pPr>
            <w:r w:rsidRPr="0073406A">
              <w:t>Sensibiliser le grand public pour les informer des enjeux sur les pollinisateurs et les inciter à changer leur</w:t>
            </w:r>
            <w:r w:rsidR="00404FB1" w:rsidRPr="0073406A">
              <w:t>s</w:t>
            </w:r>
            <w:r w:rsidRPr="0073406A">
              <w:t xml:space="preserve"> pratique</w:t>
            </w:r>
            <w:r w:rsidR="00404FB1" w:rsidRPr="0073406A">
              <w:t>s</w:t>
            </w:r>
            <w:r w:rsidR="00147EB2" w:rsidRPr="0073406A">
              <w:t>.</w:t>
            </w:r>
          </w:p>
          <w:p w14:paraId="1D2692DA" w14:textId="2DAC4ED2" w:rsidR="00C2730A" w:rsidRPr="0073406A" w:rsidRDefault="0E5707B7" w:rsidP="0031710E">
            <w:pPr>
              <w:pStyle w:val="Paragraphedeliste"/>
              <w:numPr>
                <w:ilvl w:val="0"/>
                <w:numId w:val="16"/>
              </w:numPr>
              <w:spacing w:line="256" w:lineRule="auto"/>
              <w:jc w:val="both"/>
            </w:pPr>
            <w:r w:rsidRPr="0073406A">
              <w:t>Développer plusieurs outils et canaux d’informations pour informer les gestionnaires/grand public (Webinaires, brochures…) : données, dispositifs d’aides, fiches des bonnes pratiques, informations sur les espèces exotiques envahissantes, projets en faveur des pollinisateurs…</w:t>
            </w:r>
          </w:p>
          <w:p w14:paraId="60DA310F" w14:textId="3A0BC4FF" w:rsidR="00120FA2" w:rsidRPr="0073406A" w:rsidRDefault="0E5707B7" w:rsidP="001834BC">
            <w:pPr>
              <w:pStyle w:val="Paragraphedeliste"/>
              <w:numPr>
                <w:ilvl w:val="0"/>
                <w:numId w:val="16"/>
              </w:numPr>
              <w:jc w:val="both"/>
            </w:pPr>
            <w:r w:rsidRPr="0073406A">
              <w:t>Sensibiliser les jeunes publics qui seront les décideurs et gestionnaires de demain</w:t>
            </w:r>
            <w:r w:rsidR="00495090" w:rsidRPr="0073406A">
              <w:t xml:space="preserve"> (par exemple</w:t>
            </w:r>
            <w:r w:rsidR="00702569" w:rsidRPr="0073406A">
              <w:t> : lien avec le SRFD pour les lycées agricoles)</w:t>
            </w:r>
            <w:r w:rsidRPr="0073406A">
              <w:t>.</w:t>
            </w:r>
          </w:p>
        </w:tc>
      </w:tr>
      <w:tr w:rsidR="0046607B" w14:paraId="6493FA08" w14:textId="77777777" w:rsidTr="0E5707B7">
        <w:tc>
          <w:tcPr>
            <w:tcW w:w="1560" w:type="dxa"/>
            <w:vAlign w:val="center"/>
          </w:tcPr>
          <w:p w14:paraId="5DB91733" w14:textId="77777777" w:rsidR="0046607B" w:rsidRPr="009404C2" w:rsidRDefault="0046607B" w:rsidP="009404C2">
            <w:pPr>
              <w:jc w:val="center"/>
              <w:rPr>
                <w:b/>
                <w:bCs/>
              </w:rPr>
            </w:pPr>
            <w:r w:rsidRPr="009404C2">
              <w:rPr>
                <w:b/>
                <w:bCs/>
              </w:rPr>
              <w:t>Calendrier</w:t>
            </w:r>
          </w:p>
        </w:tc>
        <w:tc>
          <w:tcPr>
            <w:tcW w:w="8505" w:type="dxa"/>
          </w:tcPr>
          <w:p w14:paraId="20BBED86" w14:textId="25B5F40A" w:rsidR="009404C2" w:rsidRDefault="00775203" w:rsidP="00C73C8F">
            <w:pPr>
              <w:tabs>
                <w:tab w:val="left" w:pos="3000"/>
              </w:tabs>
            </w:pPr>
            <w:r>
              <w:t>Durée du PNA</w:t>
            </w:r>
          </w:p>
        </w:tc>
      </w:tr>
      <w:tr w:rsidR="0046607B" w14:paraId="0FE7E4B4" w14:textId="77777777" w:rsidTr="0E5707B7">
        <w:tc>
          <w:tcPr>
            <w:tcW w:w="1560" w:type="dxa"/>
            <w:vAlign w:val="center"/>
          </w:tcPr>
          <w:p w14:paraId="1BEBE245" w14:textId="77777777" w:rsidR="0046607B" w:rsidRPr="009404C2" w:rsidRDefault="0046607B" w:rsidP="009404C2">
            <w:pPr>
              <w:jc w:val="center"/>
              <w:rPr>
                <w:b/>
                <w:bCs/>
              </w:rPr>
            </w:pPr>
            <w:r w:rsidRPr="009404C2">
              <w:rPr>
                <w:b/>
                <w:bCs/>
              </w:rPr>
              <w:t>Contexte</w:t>
            </w:r>
          </w:p>
        </w:tc>
        <w:tc>
          <w:tcPr>
            <w:tcW w:w="8505" w:type="dxa"/>
          </w:tcPr>
          <w:p w14:paraId="26B297E7" w14:textId="013BB036" w:rsidR="00CF7327" w:rsidRDefault="0E5707B7" w:rsidP="00CF7327">
            <w:pPr>
              <w:jc w:val="both"/>
            </w:pPr>
            <w:r>
              <w:t xml:space="preserve">En région Grand Est, la sensibilisation du grand public et autres acteurs (entreprises...) sur les pollinisateurs sauvages et sur les bonnes pratiques s’avère essentielle pour la protection de ces insectes. Actuellement, plusieurs acteurs en région sont déjà actifs pour former et sensibiliser, mais ils ne sont pas tous connus. </w:t>
            </w:r>
          </w:p>
          <w:p w14:paraId="272FC681" w14:textId="77777777" w:rsidR="00D25802" w:rsidRDefault="00D25802" w:rsidP="00CF7327">
            <w:pPr>
              <w:jc w:val="both"/>
            </w:pPr>
          </w:p>
          <w:p w14:paraId="67929E84" w14:textId="6C388A2A" w:rsidR="00CF7327" w:rsidRDefault="0E5707B7" w:rsidP="00CF7327">
            <w:pPr>
              <w:jc w:val="both"/>
            </w:pPr>
            <w:r>
              <w:t>Par ailleurs, différents canaux de communication sont déjà utilisés par les acteurs mais aucune donnée n’est centralisée. Afin de mieux sensibiliser et informer les gestionnaires et le grand public, une centralisation des données (pratiques de gestion, brochures, financements...) s’avère nécessaire pour rendre le réseau d’acteurs déjà existant plus efficace. La centralisation des données permettra aussi aux gestionnaires d’avoir accès facilement à de la documentation sur les pratiques de gestion en fonction de chaque projet.</w:t>
            </w:r>
          </w:p>
          <w:p w14:paraId="42EEF03A" w14:textId="77777777" w:rsidR="00D25802" w:rsidRDefault="00D25802" w:rsidP="00CF7327">
            <w:pPr>
              <w:jc w:val="both"/>
            </w:pPr>
          </w:p>
          <w:p w14:paraId="435430FB" w14:textId="5B678041" w:rsidR="009404C2" w:rsidRPr="006A506A" w:rsidRDefault="0E5707B7" w:rsidP="008A748C">
            <w:pPr>
              <w:jc w:val="both"/>
            </w:pPr>
            <w:r w:rsidRPr="0E5707B7">
              <w:rPr>
                <w:b/>
                <w:bCs/>
              </w:rPr>
              <w:t>Acteurs ciblés :</w:t>
            </w:r>
            <w:r>
              <w:t xml:space="preserve"> grand public, entreprises, gestionnaires d’espaces verts, de linéaires de route, communes, scolaires…</w:t>
            </w:r>
          </w:p>
        </w:tc>
      </w:tr>
      <w:tr w:rsidR="0046607B" w14:paraId="2C672376" w14:textId="77777777" w:rsidTr="002977FE">
        <w:tc>
          <w:tcPr>
            <w:tcW w:w="1560" w:type="dxa"/>
            <w:vAlign w:val="center"/>
          </w:tcPr>
          <w:p w14:paraId="4E3D86DC" w14:textId="77777777" w:rsidR="0046607B" w:rsidRPr="009404C2" w:rsidRDefault="0046607B" w:rsidP="009404C2">
            <w:pPr>
              <w:jc w:val="center"/>
              <w:rPr>
                <w:b/>
                <w:bCs/>
              </w:rPr>
            </w:pPr>
            <w:r w:rsidRPr="009404C2">
              <w:rPr>
                <w:b/>
                <w:bCs/>
              </w:rPr>
              <w:t>Description</w:t>
            </w:r>
          </w:p>
        </w:tc>
        <w:tc>
          <w:tcPr>
            <w:tcW w:w="8505" w:type="dxa"/>
            <w:vAlign w:val="center"/>
          </w:tcPr>
          <w:p w14:paraId="0180F248" w14:textId="5FE0084B" w:rsidR="00C24C94" w:rsidRDefault="0E5707B7" w:rsidP="002977FE">
            <w:pPr>
              <w:pStyle w:val="Default"/>
              <w:numPr>
                <w:ilvl w:val="0"/>
                <w:numId w:val="26"/>
              </w:numPr>
              <w:rPr>
                <w:sz w:val="22"/>
                <w:szCs w:val="22"/>
              </w:rPr>
            </w:pPr>
            <w:r w:rsidRPr="0E5707B7">
              <w:rPr>
                <w:sz w:val="22"/>
                <w:szCs w:val="22"/>
              </w:rPr>
              <w:t>Dans un premier, il est nécessaire d’</w:t>
            </w:r>
            <w:r w:rsidRPr="0E5707B7">
              <w:rPr>
                <w:b/>
                <w:bCs/>
                <w:sz w:val="22"/>
                <w:szCs w:val="22"/>
              </w:rPr>
              <w:t>identifier</w:t>
            </w:r>
            <w:r w:rsidRPr="0E5707B7">
              <w:rPr>
                <w:sz w:val="22"/>
                <w:szCs w:val="22"/>
              </w:rPr>
              <w:t xml:space="preserve"> tous les acteurs impliqués dans la </w:t>
            </w:r>
            <w:r w:rsidRPr="0E5707B7">
              <w:rPr>
                <w:b/>
                <w:bCs/>
                <w:sz w:val="22"/>
                <w:szCs w:val="22"/>
              </w:rPr>
              <w:t>communication</w:t>
            </w:r>
            <w:r w:rsidRPr="0E5707B7">
              <w:rPr>
                <w:sz w:val="22"/>
                <w:szCs w:val="22"/>
              </w:rPr>
              <w:t xml:space="preserve"> ou l’</w:t>
            </w:r>
            <w:r w:rsidRPr="0E5707B7">
              <w:rPr>
                <w:b/>
                <w:bCs/>
                <w:sz w:val="22"/>
                <w:szCs w:val="22"/>
              </w:rPr>
              <w:t>animation</w:t>
            </w:r>
            <w:r w:rsidRPr="0E5707B7">
              <w:rPr>
                <w:sz w:val="22"/>
                <w:szCs w:val="22"/>
              </w:rPr>
              <w:t xml:space="preserve"> sur les aspects de la pollinisation et des pollinisateurs</w:t>
            </w:r>
            <w:r w:rsidR="0055103D">
              <w:rPr>
                <w:sz w:val="22"/>
                <w:szCs w:val="22"/>
              </w:rPr>
              <w:t xml:space="preserve"> sauvages</w:t>
            </w:r>
            <w:r w:rsidRPr="0E5707B7">
              <w:rPr>
                <w:sz w:val="22"/>
                <w:szCs w:val="22"/>
              </w:rPr>
              <w:t>.</w:t>
            </w:r>
          </w:p>
          <w:p w14:paraId="75A96B36" w14:textId="3D6C700E" w:rsidR="001A0C99" w:rsidRDefault="00AE13EC" w:rsidP="002977FE">
            <w:pPr>
              <w:pStyle w:val="Default"/>
              <w:numPr>
                <w:ilvl w:val="0"/>
                <w:numId w:val="26"/>
              </w:numPr>
              <w:rPr>
                <w:b/>
                <w:bCs/>
                <w:sz w:val="22"/>
                <w:szCs w:val="22"/>
              </w:rPr>
            </w:pPr>
            <w:r>
              <w:rPr>
                <w:b/>
                <w:bCs/>
                <w:sz w:val="22"/>
                <w:szCs w:val="22"/>
              </w:rPr>
              <w:t>Concernant</w:t>
            </w:r>
            <w:r w:rsidR="001B0F7C">
              <w:rPr>
                <w:b/>
                <w:bCs/>
                <w:sz w:val="22"/>
                <w:szCs w:val="22"/>
              </w:rPr>
              <w:t xml:space="preserve"> le relai d’information, il</w:t>
            </w:r>
            <w:r w:rsidR="00392B75">
              <w:rPr>
                <w:b/>
                <w:bCs/>
                <w:sz w:val="22"/>
                <w:szCs w:val="22"/>
              </w:rPr>
              <w:t xml:space="preserve"> faudra</w:t>
            </w:r>
            <w:r w:rsidR="001A0C99">
              <w:rPr>
                <w:b/>
                <w:bCs/>
                <w:sz w:val="22"/>
                <w:szCs w:val="22"/>
              </w:rPr>
              <w:t> :</w:t>
            </w:r>
          </w:p>
          <w:p w14:paraId="7A615D2F" w14:textId="57AD3F72" w:rsidR="00F5530B" w:rsidRDefault="0E5707B7" w:rsidP="002977FE">
            <w:pPr>
              <w:pStyle w:val="Default"/>
              <w:numPr>
                <w:ilvl w:val="0"/>
                <w:numId w:val="23"/>
              </w:numPr>
              <w:rPr>
                <w:sz w:val="22"/>
                <w:szCs w:val="22"/>
              </w:rPr>
            </w:pPr>
            <w:r w:rsidRPr="0E5707B7">
              <w:rPr>
                <w:sz w:val="22"/>
                <w:szCs w:val="22"/>
              </w:rPr>
              <w:t xml:space="preserve">Recenser les outils préexistants (catalogue) et </w:t>
            </w:r>
            <w:r w:rsidRPr="0E5707B7">
              <w:rPr>
                <w:b/>
                <w:bCs/>
                <w:sz w:val="22"/>
                <w:szCs w:val="22"/>
              </w:rPr>
              <w:t>définir</w:t>
            </w:r>
            <w:r w:rsidRPr="0E5707B7">
              <w:rPr>
                <w:sz w:val="22"/>
                <w:szCs w:val="22"/>
              </w:rPr>
              <w:t xml:space="preserve"> les besoins par le biais d’un groupe de travail thématique. Plusieurs kits de communication pourront être créés, en fonction du type d’acteurs ciblé ;</w:t>
            </w:r>
          </w:p>
          <w:p w14:paraId="451125A4" w14:textId="77777777" w:rsidR="00F5530B" w:rsidRDefault="00F5530B" w:rsidP="002977FE">
            <w:pPr>
              <w:pStyle w:val="Default"/>
              <w:ind w:left="360"/>
              <w:rPr>
                <w:sz w:val="22"/>
                <w:szCs w:val="22"/>
              </w:rPr>
            </w:pPr>
          </w:p>
          <w:p w14:paraId="6D9809C8" w14:textId="5A52E7B2" w:rsidR="00870B2E" w:rsidRPr="00F5530B" w:rsidRDefault="0E5707B7" w:rsidP="007C7653">
            <w:pPr>
              <w:pStyle w:val="Default"/>
              <w:ind w:left="360"/>
              <w:jc w:val="both"/>
              <w:rPr>
                <w:sz w:val="22"/>
                <w:szCs w:val="22"/>
              </w:rPr>
            </w:pPr>
            <w:r w:rsidRPr="0E5707B7">
              <w:rPr>
                <w:sz w:val="22"/>
                <w:szCs w:val="22"/>
              </w:rPr>
              <w:t>Ces kits pourront comprendre : une plaquette d’information sur le P</w:t>
            </w:r>
            <w:r w:rsidR="000E4810">
              <w:rPr>
                <w:sz w:val="22"/>
                <w:szCs w:val="22"/>
              </w:rPr>
              <w:t>NA en Grand Est</w:t>
            </w:r>
            <w:r w:rsidRPr="0E5707B7">
              <w:rPr>
                <w:sz w:val="22"/>
                <w:szCs w:val="22"/>
              </w:rPr>
              <w:t>, une plaquette sur les abeilles domestiques et les pollinisateurs sauvages, des articles à réaliser et à mettre à disposition des collectivités (notamment pour les bulletins municipaux), des modèles de panneaux informatifs, des fiches de gestions favorables aux pollinisateurs, une exposition, un film pédagogique…</w:t>
            </w:r>
          </w:p>
          <w:p w14:paraId="71BB85D0" w14:textId="77777777" w:rsidR="00A04BDC" w:rsidRDefault="00A04BDC" w:rsidP="002977FE">
            <w:pPr>
              <w:pStyle w:val="Default"/>
              <w:rPr>
                <w:sz w:val="22"/>
                <w:szCs w:val="22"/>
              </w:rPr>
            </w:pPr>
          </w:p>
          <w:p w14:paraId="1F9B88E4" w14:textId="51C56EA0" w:rsidR="00B3306B" w:rsidRDefault="000F3BF2" w:rsidP="002977FE">
            <w:pPr>
              <w:pStyle w:val="Default"/>
              <w:numPr>
                <w:ilvl w:val="0"/>
                <w:numId w:val="23"/>
              </w:numPr>
              <w:rPr>
                <w:sz w:val="22"/>
                <w:szCs w:val="22"/>
              </w:rPr>
            </w:pPr>
            <w:r>
              <w:rPr>
                <w:sz w:val="22"/>
                <w:szCs w:val="22"/>
              </w:rPr>
              <w:t>Organiser d</w:t>
            </w:r>
            <w:r w:rsidR="2082B7DA" w:rsidRPr="2082B7DA">
              <w:rPr>
                <w:sz w:val="22"/>
                <w:szCs w:val="22"/>
              </w:rPr>
              <w:t>es</w:t>
            </w:r>
            <w:r w:rsidR="00112B9D">
              <w:rPr>
                <w:sz w:val="22"/>
                <w:szCs w:val="22"/>
              </w:rPr>
              <w:t xml:space="preserve"> évènements et des</w:t>
            </w:r>
            <w:r w:rsidR="2082B7DA" w:rsidRPr="2082B7DA">
              <w:rPr>
                <w:sz w:val="22"/>
                <w:szCs w:val="22"/>
              </w:rPr>
              <w:t xml:space="preserve"> réunions </w:t>
            </w:r>
            <w:r w:rsidR="00112B9D">
              <w:rPr>
                <w:sz w:val="22"/>
                <w:szCs w:val="22"/>
              </w:rPr>
              <w:t xml:space="preserve">locales </w:t>
            </w:r>
            <w:r w:rsidR="2082B7DA" w:rsidRPr="2082B7DA">
              <w:rPr>
                <w:sz w:val="22"/>
                <w:szCs w:val="22"/>
              </w:rPr>
              <w:t xml:space="preserve">pour </w:t>
            </w:r>
            <w:r w:rsidR="2082B7DA" w:rsidRPr="00392B75">
              <w:rPr>
                <w:b/>
                <w:bCs/>
                <w:sz w:val="22"/>
                <w:szCs w:val="22"/>
              </w:rPr>
              <w:t>informer</w:t>
            </w:r>
            <w:r w:rsidR="2082B7DA" w:rsidRPr="2082B7DA">
              <w:rPr>
                <w:sz w:val="22"/>
                <w:szCs w:val="22"/>
              </w:rPr>
              <w:t xml:space="preserve"> les différents acteurs (élus, agents</w:t>
            </w:r>
            <w:r w:rsidR="00CA4B0D">
              <w:rPr>
                <w:sz w:val="22"/>
                <w:szCs w:val="22"/>
              </w:rPr>
              <w:t>, gestionnaires</w:t>
            </w:r>
            <w:r w:rsidR="2082B7DA" w:rsidRPr="2082B7DA">
              <w:rPr>
                <w:sz w:val="22"/>
                <w:szCs w:val="22"/>
              </w:rPr>
              <w:t xml:space="preserve"> et grand public)</w:t>
            </w:r>
            <w:r w:rsidR="00112B9D">
              <w:rPr>
                <w:sz w:val="22"/>
                <w:szCs w:val="22"/>
              </w:rPr>
              <w:t xml:space="preserve">, en s’appuyant </w:t>
            </w:r>
            <w:r w:rsidR="00392B75">
              <w:rPr>
                <w:sz w:val="22"/>
                <w:szCs w:val="22"/>
              </w:rPr>
              <w:t xml:space="preserve">par exemple </w:t>
            </w:r>
            <w:r w:rsidR="00112B9D">
              <w:rPr>
                <w:sz w:val="22"/>
                <w:szCs w:val="22"/>
              </w:rPr>
              <w:t>sur des journées thématiques nationales (exemple : journée mondiale des abeilles)</w:t>
            </w:r>
            <w:r w:rsidR="00CA4B0D">
              <w:rPr>
                <w:sz w:val="22"/>
                <w:szCs w:val="22"/>
              </w:rPr>
              <w:t> ;</w:t>
            </w:r>
          </w:p>
          <w:p w14:paraId="60BB43E7" w14:textId="25E02227" w:rsidR="00AE13EC" w:rsidRDefault="000F3BF2" w:rsidP="002977FE">
            <w:pPr>
              <w:pStyle w:val="Default"/>
              <w:numPr>
                <w:ilvl w:val="0"/>
                <w:numId w:val="23"/>
              </w:numPr>
              <w:rPr>
                <w:sz w:val="22"/>
                <w:szCs w:val="22"/>
              </w:rPr>
            </w:pPr>
            <w:r>
              <w:rPr>
                <w:sz w:val="22"/>
                <w:szCs w:val="22"/>
              </w:rPr>
              <w:lastRenderedPageBreak/>
              <w:t>Re</w:t>
            </w:r>
            <w:r w:rsidR="00C310A7">
              <w:rPr>
                <w:sz w:val="22"/>
                <w:szCs w:val="22"/>
              </w:rPr>
              <w:t>layer l</w:t>
            </w:r>
            <w:r w:rsidR="00055E10">
              <w:rPr>
                <w:sz w:val="22"/>
                <w:szCs w:val="22"/>
              </w:rPr>
              <w:t xml:space="preserve">es différentes actions réalisées auprès de la presse </w:t>
            </w:r>
            <w:r w:rsidR="000F2824">
              <w:rPr>
                <w:sz w:val="22"/>
                <w:szCs w:val="22"/>
              </w:rPr>
              <w:t>;</w:t>
            </w:r>
          </w:p>
          <w:p w14:paraId="2E308F30" w14:textId="66CBBC75" w:rsidR="00731E9B" w:rsidRDefault="0E5707B7" w:rsidP="002977FE">
            <w:pPr>
              <w:pStyle w:val="Default"/>
              <w:numPr>
                <w:ilvl w:val="0"/>
                <w:numId w:val="23"/>
              </w:numPr>
              <w:rPr>
                <w:sz w:val="22"/>
                <w:szCs w:val="22"/>
              </w:rPr>
            </w:pPr>
            <w:r w:rsidRPr="0E5707B7">
              <w:rPr>
                <w:sz w:val="22"/>
                <w:szCs w:val="22"/>
              </w:rPr>
              <w:t xml:space="preserve">Réaliser une page d’information sur la plateforme pour la Biodiversité du Grand Est (OGEB : </w:t>
            </w:r>
            <w:hyperlink r:id="rId5">
              <w:r w:rsidRPr="0E5707B7">
                <w:rPr>
                  <w:rStyle w:val="Lienhypertexte"/>
                  <w:sz w:val="22"/>
                  <w:szCs w:val="22"/>
                </w:rPr>
                <w:t>https://biodiversite.grandest.fr/</w:t>
              </w:r>
            </w:hyperlink>
            <w:r w:rsidRPr="0E5707B7">
              <w:rPr>
                <w:sz w:val="22"/>
                <w:szCs w:val="22"/>
              </w:rPr>
              <w:t>) : on y trouvera de l’information (acteurs, guides...) et des exemples de projets pour inspirer les autres acteurs ;</w:t>
            </w:r>
          </w:p>
          <w:p w14:paraId="46A50B7E" w14:textId="205B69EA" w:rsidR="006B4D47" w:rsidRDefault="0E5707B7" w:rsidP="002977FE">
            <w:pPr>
              <w:numPr>
                <w:ilvl w:val="0"/>
                <w:numId w:val="23"/>
              </w:numPr>
            </w:pPr>
            <w:r>
              <w:t xml:space="preserve">Informer et faire connaitre les labels favorables aux pollinisateurs : par exemple, utiliser les TEN (Territoires engagés pour la nature), la distinction Commune Nature ou encore E3D (Etablissement en Démarche globale de Développement Durable), Bee Friendly (label national) et ATE (Aires terrestres éducatives) pour les écoles ; </w:t>
            </w:r>
          </w:p>
          <w:p w14:paraId="46A03C8F" w14:textId="072480C8" w:rsidR="006B4D47" w:rsidRDefault="00C310A7" w:rsidP="002977FE">
            <w:pPr>
              <w:numPr>
                <w:ilvl w:val="0"/>
                <w:numId w:val="23"/>
              </w:numPr>
            </w:pPr>
            <w:r>
              <w:t>F</w:t>
            </w:r>
            <w:r w:rsidR="006B4D47" w:rsidRPr="2082B7DA">
              <w:t xml:space="preserve">aire connaitre les dispositifs financiers disponibles pour chaque action (catalogue des financements possibles et publics éligibles) ; </w:t>
            </w:r>
          </w:p>
          <w:p w14:paraId="32746E39" w14:textId="650A81F0" w:rsidR="001A767F" w:rsidRDefault="5CA8A921" w:rsidP="00E144DA">
            <w:pPr>
              <w:pStyle w:val="Paragraphedeliste"/>
              <w:numPr>
                <w:ilvl w:val="0"/>
                <w:numId w:val="27"/>
              </w:numPr>
              <w:jc w:val="both"/>
            </w:pPr>
            <w:r w:rsidRPr="008464BC">
              <w:rPr>
                <w:b/>
                <w:bCs/>
              </w:rPr>
              <w:t>Les</w:t>
            </w:r>
            <w:r w:rsidRPr="5CA8A921">
              <w:t xml:space="preserve"> </w:t>
            </w:r>
            <w:r w:rsidRPr="008464BC">
              <w:rPr>
                <w:b/>
                <w:bCs/>
              </w:rPr>
              <w:t>nouvelles générations</w:t>
            </w:r>
            <w:r w:rsidRPr="5CA8A921">
              <w:t xml:space="preserve"> </w:t>
            </w:r>
            <w:r w:rsidRPr="008464BC">
              <w:rPr>
                <w:b/>
                <w:bCs/>
              </w:rPr>
              <w:t>ne devant pas être négligées</w:t>
            </w:r>
            <w:r w:rsidRPr="5CA8A921">
              <w:t xml:space="preserve">, il sera nécessaire de </w:t>
            </w:r>
            <w:r w:rsidRPr="008464BC">
              <w:rPr>
                <w:b/>
                <w:bCs/>
              </w:rPr>
              <w:t>réaliser des</w:t>
            </w:r>
            <w:r w:rsidRPr="5CA8A921">
              <w:t xml:space="preserve"> </w:t>
            </w:r>
            <w:r w:rsidRPr="008464BC">
              <w:rPr>
                <w:b/>
                <w:bCs/>
              </w:rPr>
              <w:t>interventions de sensibilisation</w:t>
            </w:r>
            <w:r w:rsidRPr="5CA8A921">
              <w:t xml:space="preserve"> auprès des écoles</w:t>
            </w:r>
            <w:r w:rsidR="00E144DA">
              <w:t xml:space="preserve"> (par exemple : C</w:t>
            </w:r>
            <w:r w:rsidR="00E144DA" w:rsidRPr="00E144DA">
              <w:t xml:space="preserve">aravane </w:t>
            </w:r>
            <w:r w:rsidR="00E144DA">
              <w:t>A</w:t>
            </w:r>
            <w:r w:rsidR="00E144DA" w:rsidRPr="00E144DA">
              <w:t>picole</w:t>
            </w:r>
            <w:r w:rsidR="00E144DA">
              <w:t>)</w:t>
            </w:r>
            <w:r w:rsidRPr="5CA8A921">
              <w:t xml:space="preserve">, afin d’expliquer l’intérêt des pollinisateurs et le lien entre les espèces et leur milieu. Un kit au niveau régional devra être disponible pour permettre aux acteurs de pouvoir réaliser </w:t>
            </w:r>
            <w:r w:rsidR="0016124F">
              <w:t>c</w:t>
            </w:r>
            <w:r w:rsidRPr="5CA8A921">
              <w:t>es interventions auprès des écoles (avec une adaptation suivant les niveaux)</w:t>
            </w:r>
            <w:r w:rsidR="00A83210">
              <w:t> ;</w:t>
            </w:r>
          </w:p>
          <w:p w14:paraId="467CBCAC" w14:textId="77777777" w:rsidR="00080F10" w:rsidRDefault="00080F10" w:rsidP="002977FE"/>
          <w:p w14:paraId="10E14029" w14:textId="26AC612C" w:rsidR="0046607B" w:rsidRPr="006A506A" w:rsidRDefault="00A83210" w:rsidP="002977FE">
            <w:pPr>
              <w:pStyle w:val="Paragraphedeliste"/>
              <w:numPr>
                <w:ilvl w:val="0"/>
                <w:numId w:val="27"/>
              </w:numPr>
            </w:pPr>
            <w:r w:rsidRPr="008464BC">
              <w:rPr>
                <w:b/>
                <w:bCs/>
              </w:rPr>
              <w:t>Développer l’utilisation d</w:t>
            </w:r>
            <w:r w:rsidR="00845159" w:rsidRPr="008464BC">
              <w:rPr>
                <w:b/>
                <w:bCs/>
              </w:rPr>
              <w:t xml:space="preserve">es </w:t>
            </w:r>
            <w:r w:rsidRPr="008464BC">
              <w:rPr>
                <w:b/>
                <w:bCs/>
              </w:rPr>
              <w:t>outils de sciences participatives</w:t>
            </w:r>
            <w:r>
              <w:t xml:space="preserve"> (exemple : SPIPOLL, suivi photographique des insectes pollinisateurs)</w:t>
            </w:r>
            <w:r w:rsidR="00080F10">
              <w:t>.</w:t>
            </w:r>
          </w:p>
        </w:tc>
      </w:tr>
      <w:tr w:rsidR="0046607B" w14:paraId="31A64B77" w14:textId="77777777" w:rsidTr="0E5707B7">
        <w:tc>
          <w:tcPr>
            <w:tcW w:w="1560" w:type="dxa"/>
            <w:vAlign w:val="center"/>
          </w:tcPr>
          <w:p w14:paraId="0BC8330C" w14:textId="77777777" w:rsidR="0046607B" w:rsidRPr="009404C2" w:rsidRDefault="0046607B" w:rsidP="009404C2">
            <w:pPr>
              <w:jc w:val="center"/>
              <w:rPr>
                <w:b/>
                <w:bCs/>
              </w:rPr>
            </w:pPr>
            <w:r w:rsidRPr="009404C2">
              <w:rPr>
                <w:b/>
                <w:bCs/>
              </w:rPr>
              <w:lastRenderedPageBreak/>
              <w:t>Action(s) associée(s)</w:t>
            </w:r>
          </w:p>
        </w:tc>
        <w:tc>
          <w:tcPr>
            <w:tcW w:w="8505" w:type="dxa"/>
          </w:tcPr>
          <w:p w14:paraId="6FEEDBC8" w14:textId="734E62E9" w:rsidR="00587964" w:rsidRDefault="00587964" w:rsidP="00906905">
            <w:r>
              <w:t>Axe 1</w:t>
            </w:r>
            <w:r w:rsidR="009F4D3A">
              <w:t xml:space="preserve"> - action</w:t>
            </w:r>
            <w:r>
              <w:t xml:space="preserve"> 1</w:t>
            </w:r>
          </w:p>
          <w:p w14:paraId="1A5B0A49" w14:textId="4B44AF20" w:rsidR="0046607B" w:rsidRDefault="00587964" w:rsidP="00906905">
            <w:r>
              <w:t xml:space="preserve">Axe 3 </w:t>
            </w:r>
            <w:r w:rsidR="009F4D3A">
              <w:t xml:space="preserve">- </w:t>
            </w:r>
            <w:r>
              <w:t>action</w:t>
            </w:r>
            <w:r w:rsidR="009F4D3A">
              <w:t>s</w:t>
            </w:r>
            <w:r>
              <w:t xml:space="preserve"> </w:t>
            </w:r>
            <w:r w:rsidR="003A4EF2">
              <w:t>1.a et 1.b</w:t>
            </w:r>
            <w:r>
              <w:t>.</w:t>
            </w:r>
            <w:r w:rsidR="00946980">
              <w:t xml:space="preserve"> et 3</w:t>
            </w:r>
          </w:p>
        </w:tc>
      </w:tr>
      <w:tr w:rsidR="0046607B" w14:paraId="1A7A76D2" w14:textId="77777777" w:rsidTr="0E5707B7">
        <w:tc>
          <w:tcPr>
            <w:tcW w:w="1560" w:type="dxa"/>
            <w:vAlign w:val="center"/>
          </w:tcPr>
          <w:p w14:paraId="53A9EFDE" w14:textId="77777777" w:rsidR="0046607B" w:rsidRPr="009404C2" w:rsidRDefault="0046607B" w:rsidP="009404C2">
            <w:pPr>
              <w:jc w:val="center"/>
              <w:rPr>
                <w:b/>
                <w:bCs/>
              </w:rPr>
            </w:pPr>
            <w:r w:rsidRPr="009404C2">
              <w:rPr>
                <w:b/>
                <w:bCs/>
              </w:rPr>
              <w:t>Indicateurs de résultats</w:t>
            </w:r>
          </w:p>
        </w:tc>
        <w:tc>
          <w:tcPr>
            <w:tcW w:w="8505" w:type="dxa"/>
          </w:tcPr>
          <w:p w14:paraId="5D73120C" w14:textId="27D98B39" w:rsidR="00D4184D" w:rsidRDefault="00946980" w:rsidP="00906905">
            <w:pPr>
              <w:pStyle w:val="Paragraphedeliste"/>
              <w:numPr>
                <w:ilvl w:val="0"/>
                <w:numId w:val="8"/>
              </w:numPr>
            </w:pPr>
            <w:r>
              <w:t>Nombre de réunions</w:t>
            </w:r>
            <w:r w:rsidR="00A37219">
              <w:t xml:space="preserve"> d’information</w:t>
            </w:r>
            <w:r>
              <w:t xml:space="preserve"> ou conférences réalisées</w:t>
            </w:r>
            <w:r w:rsidR="00A37219">
              <w:t> ;</w:t>
            </w:r>
          </w:p>
          <w:p w14:paraId="76F05BC3" w14:textId="60DC5189" w:rsidR="004319FE" w:rsidRDefault="004319FE" w:rsidP="00906905">
            <w:pPr>
              <w:pStyle w:val="Paragraphedeliste"/>
              <w:numPr>
                <w:ilvl w:val="0"/>
                <w:numId w:val="8"/>
              </w:numPr>
            </w:pPr>
            <w:r>
              <w:t>Nombre d’opération</w:t>
            </w:r>
            <w:r w:rsidR="00835F86">
              <w:t>s</w:t>
            </w:r>
            <w:r>
              <w:t xml:space="preserve"> de communication réalisées</w:t>
            </w:r>
            <w:r w:rsidR="006B4C4D">
              <w:t> ;</w:t>
            </w:r>
          </w:p>
          <w:p w14:paraId="6F9ED77B" w14:textId="7B1023A9" w:rsidR="006B4C4D" w:rsidRDefault="006B4C4D" w:rsidP="00906905">
            <w:pPr>
              <w:pStyle w:val="Paragraphedeliste"/>
              <w:numPr>
                <w:ilvl w:val="0"/>
                <w:numId w:val="8"/>
              </w:numPr>
            </w:pPr>
            <w:r>
              <w:t>Nombre d’actions relayées sur la plateforme de l’OGEB ;</w:t>
            </w:r>
          </w:p>
          <w:p w14:paraId="03D8A5C7" w14:textId="77777777" w:rsidR="006B4C4D" w:rsidRDefault="006B4C4D" w:rsidP="00906905">
            <w:pPr>
              <w:pStyle w:val="Paragraphedeliste"/>
              <w:numPr>
                <w:ilvl w:val="0"/>
                <w:numId w:val="8"/>
              </w:numPr>
            </w:pPr>
            <w:r>
              <w:t>Nombre de projets incluant la thématique information / sensibilisation sur les pollinisateurs et la pollinisation ;</w:t>
            </w:r>
          </w:p>
          <w:p w14:paraId="7B452023" w14:textId="4B79344F" w:rsidR="00946980" w:rsidRDefault="00946980" w:rsidP="00906905">
            <w:pPr>
              <w:pStyle w:val="Paragraphedeliste"/>
              <w:numPr>
                <w:ilvl w:val="0"/>
                <w:numId w:val="8"/>
              </w:numPr>
            </w:pPr>
            <w:r>
              <w:t xml:space="preserve">Nombre d’outils présents dans les kits </w:t>
            </w:r>
            <w:r w:rsidR="00A37219">
              <w:t xml:space="preserve">de </w:t>
            </w:r>
            <w:r>
              <w:t>communication</w:t>
            </w:r>
            <w:r w:rsidR="00A37219">
              <w:t> ;</w:t>
            </w:r>
          </w:p>
          <w:p w14:paraId="4B0BB062" w14:textId="3DA8DBFA" w:rsidR="009404C2" w:rsidRDefault="0E5707B7" w:rsidP="006B4C4D">
            <w:pPr>
              <w:pStyle w:val="Paragraphedeliste"/>
              <w:numPr>
                <w:ilvl w:val="0"/>
                <w:numId w:val="8"/>
              </w:numPr>
            </w:pPr>
            <w:r>
              <w:t>Nombre de kits diffusés.</w:t>
            </w:r>
          </w:p>
        </w:tc>
      </w:tr>
      <w:tr w:rsidR="0046607B" w14:paraId="7A25EBB5" w14:textId="77777777" w:rsidTr="0E5707B7">
        <w:tc>
          <w:tcPr>
            <w:tcW w:w="1560" w:type="dxa"/>
            <w:vAlign w:val="center"/>
          </w:tcPr>
          <w:p w14:paraId="672D1A3F" w14:textId="77777777" w:rsidR="0046607B" w:rsidRPr="009404C2" w:rsidRDefault="0046607B" w:rsidP="009404C2">
            <w:pPr>
              <w:jc w:val="center"/>
              <w:rPr>
                <w:b/>
                <w:bCs/>
              </w:rPr>
            </w:pPr>
            <w:r w:rsidRPr="009404C2">
              <w:rPr>
                <w:b/>
                <w:bCs/>
              </w:rPr>
              <w:t>Echelle(s) de travail</w:t>
            </w:r>
          </w:p>
        </w:tc>
        <w:tc>
          <w:tcPr>
            <w:tcW w:w="8505" w:type="dxa"/>
          </w:tcPr>
          <w:p w14:paraId="59FEF4A2" w14:textId="5C9F1560" w:rsidR="0046607B" w:rsidRDefault="00D03FEE" w:rsidP="00906905">
            <w:r>
              <w:t>Grand Est</w:t>
            </w:r>
          </w:p>
          <w:p w14:paraId="4854D96C" w14:textId="161D41B5" w:rsidR="009404C2" w:rsidRDefault="009404C2" w:rsidP="00906905"/>
        </w:tc>
      </w:tr>
      <w:tr w:rsidR="0046607B" w14:paraId="14536EE1" w14:textId="77777777" w:rsidTr="0E5707B7">
        <w:tc>
          <w:tcPr>
            <w:tcW w:w="1560" w:type="dxa"/>
            <w:vAlign w:val="center"/>
          </w:tcPr>
          <w:p w14:paraId="1BD0790A" w14:textId="77777777" w:rsidR="0046607B" w:rsidRPr="009404C2" w:rsidRDefault="36931E27" w:rsidP="009404C2">
            <w:pPr>
              <w:jc w:val="center"/>
              <w:rPr>
                <w:b/>
                <w:bCs/>
              </w:rPr>
            </w:pPr>
            <w:r w:rsidRPr="36931E27">
              <w:rPr>
                <w:b/>
                <w:bCs/>
              </w:rPr>
              <w:t>Evaluation financière</w:t>
            </w:r>
          </w:p>
        </w:tc>
        <w:tc>
          <w:tcPr>
            <w:tcW w:w="8505" w:type="dxa"/>
          </w:tcPr>
          <w:p w14:paraId="27C038E5" w14:textId="04C0D502" w:rsidR="000E2F9E" w:rsidRDefault="002977FE" w:rsidP="00906905">
            <w:r w:rsidRPr="002977FE">
              <w:t>Financements spécifiques à chaque type d’action</w:t>
            </w:r>
          </w:p>
        </w:tc>
      </w:tr>
      <w:tr w:rsidR="0046607B" w14:paraId="6294C436" w14:textId="77777777" w:rsidTr="0E5707B7">
        <w:tc>
          <w:tcPr>
            <w:tcW w:w="1560" w:type="dxa"/>
            <w:vAlign w:val="center"/>
          </w:tcPr>
          <w:p w14:paraId="5FD15E5D" w14:textId="77777777" w:rsidR="0046607B" w:rsidRPr="009404C2" w:rsidRDefault="2082B7DA" w:rsidP="009404C2">
            <w:pPr>
              <w:jc w:val="center"/>
              <w:rPr>
                <w:b/>
                <w:bCs/>
              </w:rPr>
            </w:pPr>
            <w:r w:rsidRPr="2082B7DA">
              <w:rPr>
                <w:b/>
                <w:bCs/>
              </w:rPr>
              <w:t>Pilote(s) de l’action</w:t>
            </w:r>
          </w:p>
        </w:tc>
        <w:tc>
          <w:tcPr>
            <w:tcW w:w="8505" w:type="dxa"/>
            <w:vAlign w:val="center"/>
          </w:tcPr>
          <w:p w14:paraId="7E1E1190" w14:textId="3DAAB968" w:rsidR="009404C2" w:rsidRDefault="006D5DF5" w:rsidP="00D25802">
            <w:r>
              <w:t>SLE, CEN</w:t>
            </w:r>
            <w:r w:rsidR="004D5DC8">
              <w:t>s</w:t>
            </w:r>
            <w:r>
              <w:t>, FREDON</w:t>
            </w:r>
            <w:r w:rsidR="00512FBF">
              <w:t xml:space="preserve"> GE</w:t>
            </w:r>
            <w:r>
              <w:t>, RBA</w:t>
            </w:r>
          </w:p>
        </w:tc>
      </w:tr>
      <w:tr w:rsidR="0046607B" w14:paraId="0F11D460" w14:textId="77777777" w:rsidTr="0E5707B7">
        <w:tc>
          <w:tcPr>
            <w:tcW w:w="1560" w:type="dxa"/>
            <w:vAlign w:val="center"/>
          </w:tcPr>
          <w:p w14:paraId="0038320C" w14:textId="77777777" w:rsidR="0046607B" w:rsidRPr="009404C2" w:rsidRDefault="0046607B" w:rsidP="009404C2">
            <w:pPr>
              <w:jc w:val="center"/>
              <w:rPr>
                <w:b/>
                <w:bCs/>
              </w:rPr>
            </w:pPr>
            <w:r w:rsidRPr="009404C2">
              <w:rPr>
                <w:b/>
                <w:bCs/>
              </w:rPr>
              <w:t>Partenaires potentiels</w:t>
            </w:r>
          </w:p>
        </w:tc>
        <w:tc>
          <w:tcPr>
            <w:tcW w:w="8505" w:type="dxa"/>
            <w:vAlign w:val="center"/>
          </w:tcPr>
          <w:p w14:paraId="06E4B574" w14:textId="23156649" w:rsidR="009404C2" w:rsidRDefault="2082B7DA" w:rsidP="00D25802">
            <w:r>
              <w:t xml:space="preserve">DREAL, </w:t>
            </w:r>
            <w:r w:rsidR="0055103D">
              <w:t xml:space="preserve">DRAAF SRFD, </w:t>
            </w:r>
            <w:r>
              <w:t xml:space="preserve">OFB, AERM, AESN, Région Grand Est, </w:t>
            </w:r>
            <w:r w:rsidR="006B4C4D">
              <w:t>Cerema,</w:t>
            </w:r>
            <w:r>
              <w:t xml:space="preserve"> </w:t>
            </w:r>
            <w:r w:rsidR="00B927EB">
              <w:t xml:space="preserve">Apicool, </w:t>
            </w:r>
            <w:r>
              <w:t>RBA,</w:t>
            </w:r>
            <w:r w:rsidR="00B927EB">
              <w:t xml:space="preserve"> </w:t>
            </w:r>
            <w:r>
              <w:t>CPIE, associations environnementales,</w:t>
            </w:r>
            <w:r w:rsidR="006B4C4D">
              <w:t xml:space="preserve"> réseau ENEDD</w:t>
            </w:r>
            <w:r w:rsidR="002D668D">
              <w:t xml:space="preserve"> (ARIENA, GRAINE, LorEEN, TER’O…)</w:t>
            </w:r>
            <w:r w:rsidR="00B46523">
              <w:t>,</w:t>
            </w:r>
            <w:r w:rsidR="002D668D">
              <w:t xml:space="preserve"> </w:t>
            </w:r>
            <w:r w:rsidR="004564C5">
              <w:t xml:space="preserve">CBN, </w:t>
            </w:r>
            <w:r w:rsidR="002D668D">
              <w:t>Re</w:t>
            </w:r>
            <w:r w:rsidR="004564C5">
              <w:t>na</w:t>
            </w:r>
            <w:r w:rsidR="002D668D">
              <w:t>rd,</w:t>
            </w:r>
            <w:r w:rsidR="00B46523">
              <w:t xml:space="preserve"> </w:t>
            </w:r>
            <w:r w:rsidR="004E2A04">
              <w:t xml:space="preserve">FRC GE, </w:t>
            </w:r>
            <w:r w:rsidR="00547EBD">
              <w:t>Education Nationale, PNR, PNN,</w:t>
            </w:r>
            <w:r>
              <w:t xml:space="preserve"> FREDON Grand Est, CENs, ENSAIA, SPIGEST, Sociétés d’autoroutes, conseils départementaux, VNF, gestionnaires d’énergie</w:t>
            </w:r>
            <w:r w:rsidR="00547EBD">
              <w:t>, chaire SAGID+</w:t>
            </w:r>
            <w:r w:rsidR="00566F5B">
              <w:t>, constructeurs de matériels d’entretien…</w:t>
            </w:r>
          </w:p>
        </w:tc>
      </w:tr>
      <w:bookmarkEnd w:id="0"/>
    </w:tbl>
    <w:p w14:paraId="7B1D44AD" w14:textId="1F9F8776" w:rsidR="00835F86" w:rsidRDefault="00835F86" w:rsidP="009404C2"/>
    <w:sectPr w:rsidR="00835F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96BEF1E"/>
    <w:multiLevelType w:val="hybridMultilevel"/>
    <w:tmpl w:val="FFFFFFFF"/>
    <w:lvl w:ilvl="0" w:tplc="FFFFFFFF">
      <w:start w:val="1"/>
      <w:numFmt w:val="ideographDigital"/>
      <w:lvlText w:val="•"/>
      <w:lvlJc w:val="left"/>
    </w:lvl>
    <w:lvl w:ilvl="1" w:tplc="090D4AD9">
      <w:start w:val="1"/>
      <w:numFmt w:val="bullet"/>
      <w:lvlText w:val="•"/>
      <w:lvlJc w:val="left"/>
    </w:lvl>
    <w:lvl w:ilvl="2" w:tplc="CA9D28B5">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57F373"/>
    <w:multiLevelType w:val="hybridMultilevel"/>
    <w:tmpl w:val="FFFFFFFF"/>
    <w:lvl w:ilvl="0" w:tplc="FFFFFFFF">
      <w:start w:val="1"/>
      <w:numFmt w:val="ideographDigital"/>
      <w:lvlText w:val=""/>
      <w:lvlJc w:val="left"/>
    </w:lvl>
    <w:lvl w:ilvl="1" w:tplc="FFFFFFFF">
      <w:start w:val="1"/>
      <w:numFmt w:val="bullet"/>
      <w:lvlText w:val=""/>
      <w:lvlJc w:val="left"/>
      <w:rPr>
        <w:rFonts w:ascii="Symbol" w:hAnsi="Symbol" w:hint="default"/>
      </w:rPr>
    </w:lvl>
    <w:lvl w:ilvl="2" w:tplc="12DAB0E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6624EC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8775B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BBC5056"/>
    <w:multiLevelType w:val="hybridMultilevel"/>
    <w:tmpl w:val="BDD41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B369D8"/>
    <w:multiLevelType w:val="hybridMultilevel"/>
    <w:tmpl w:val="6D2E02B4"/>
    <w:lvl w:ilvl="0" w:tplc="AEA23390">
      <w:start w:val="2"/>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6A14F87"/>
    <w:multiLevelType w:val="hybridMultilevel"/>
    <w:tmpl w:val="6C66F1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FE54BF"/>
    <w:multiLevelType w:val="hybridMultilevel"/>
    <w:tmpl w:val="B222660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8" w15:restartNumberingAfterBreak="0">
    <w:nsid w:val="1FC8F1F4"/>
    <w:multiLevelType w:val="hybridMultilevel"/>
    <w:tmpl w:val="BDC01224"/>
    <w:lvl w:ilvl="0" w:tplc="D82A72DE">
      <w:start w:val="1"/>
      <w:numFmt w:val="bullet"/>
      <w:lvlText w:val=""/>
      <w:lvlJc w:val="left"/>
      <w:pPr>
        <w:ind w:left="720" w:hanging="360"/>
      </w:pPr>
      <w:rPr>
        <w:rFonts w:ascii="Symbol" w:hAnsi="Symbol" w:hint="default"/>
      </w:rPr>
    </w:lvl>
    <w:lvl w:ilvl="1" w:tplc="3C284324">
      <w:start w:val="1"/>
      <w:numFmt w:val="bullet"/>
      <w:lvlText w:val="o"/>
      <w:lvlJc w:val="left"/>
      <w:pPr>
        <w:ind w:left="1440" w:hanging="360"/>
      </w:pPr>
      <w:rPr>
        <w:rFonts w:ascii="Courier New" w:hAnsi="Courier New" w:hint="default"/>
      </w:rPr>
    </w:lvl>
    <w:lvl w:ilvl="2" w:tplc="4CCA2E9C">
      <w:start w:val="1"/>
      <w:numFmt w:val="bullet"/>
      <w:lvlText w:val=""/>
      <w:lvlJc w:val="left"/>
      <w:pPr>
        <w:ind w:left="2160" w:hanging="360"/>
      </w:pPr>
      <w:rPr>
        <w:rFonts w:ascii="Wingdings" w:hAnsi="Wingdings" w:hint="default"/>
      </w:rPr>
    </w:lvl>
    <w:lvl w:ilvl="3" w:tplc="5FDE5312">
      <w:start w:val="1"/>
      <w:numFmt w:val="bullet"/>
      <w:lvlText w:val=""/>
      <w:lvlJc w:val="left"/>
      <w:pPr>
        <w:ind w:left="2880" w:hanging="360"/>
      </w:pPr>
      <w:rPr>
        <w:rFonts w:ascii="Symbol" w:hAnsi="Symbol" w:hint="default"/>
      </w:rPr>
    </w:lvl>
    <w:lvl w:ilvl="4" w:tplc="2B54B9DE">
      <w:start w:val="1"/>
      <w:numFmt w:val="bullet"/>
      <w:lvlText w:val="o"/>
      <w:lvlJc w:val="left"/>
      <w:pPr>
        <w:ind w:left="3600" w:hanging="360"/>
      </w:pPr>
      <w:rPr>
        <w:rFonts w:ascii="Courier New" w:hAnsi="Courier New" w:hint="default"/>
      </w:rPr>
    </w:lvl>
    <w:lvl w:ilvl="5" w:tplc="3042B292">
      <w:start w:val="1"/>
      <w:numFmt w:val="bullet"/>
      <w:lvlText w:val=""/>
      <w:lvlJc w:val="left"/>
      <w:pPr>
        <w:ind w:left="4320" w:hanging="360"/>
      </w:pPr>
      <w:rPr>
        <w:rFonts w:ascii="Wingdings" w:hAnsi="Wingdings" w:hint="default"/>
      </w:rPr>
    </w:lvl>
    <w:lvl w:ilvl="6" w:tplc="25407060">
      <w:start w:val="1"/>
      <w:numFmt w:val="bullet"/>
      <w:lvlText w:val=""/>
      <w:lvlJc w:val="left"/>
      <w:pPr>
        <w:ind w:left="5040" w:hanging="360"/>
      </w:pPr>
      <w:rPr>
        <w:rFonts w:ascii="Symbol" w:hAnsi="Symbol" w:hint="default"/>
      </w:rPr>
    </w:lvl>
    <w:lvl w:ilvl="7" w:tplc="88EA224C">
      <w:start w:val="1"/>
      <w:numFmt w:val="bullet"/>
      <w:lvlText w:val="o"/>
      <w:lvlJc w:val="left"/>
      <w:pPr>
        <w:ind w:left="5760" w:hanging="360"/>
      </w:pPr>
      <w:rPr>
        <w:rFonts w:ascii="Courier New" w:hAnsi="Courier New" w:hint="default"/>
      </w:rPr>
    </w:lvl>
    <w:lvl w:ilvl="8" w:tplc="183AB95C">
      <w:start w:val="1"/>
      <w:numFmt w:val="bullet"/>
      <w:lvlText w:val=""/>
      <w:lvlJc w:val="left"/>
      <w:pPr>
        <w:ind w:left="6480" w:hanging="360"/>
      </w:pPr>
      <w:rPr>
        <w:rFonts w:ascii="Wingdings" w:hAnsi="Wingdings" w:hint="default"/>
      </w:rPr>
    </w:lvl>
  </w:abstractNum>
  <w:abstractNum w:abstractNumId="9" w15:restartNumberingAfterBreak="0">
    <w:nsid w:val="243A7185"/>
    <w:multiLevelType w:val="hybridMultilevel"/>
    <w:tmpl w:val="A18AC3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BE1398"/>
    <w:multiLevelType w:val="hybridMultilevel"/>
    <w:tmpl w:val="C7688108"/>
    <w:lvl w:ilvl="0" w:tplc="E1700D3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4752C9"/>
    <w:multiLevelType w:val="multilevel"/>
    <w:tmpl w:val="508215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006C06"/>
    <w:multiLevelType w:val="multilevel"/>
    <w:tmpl w:val="E2DA6F1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4F3F4A"/>
    <w:multiLevelType w:val="hybridMultilevel"/>
    <w:tmpl w:val="7412392E"/>
    <w:lvl w:ilvl="0" w:tplc="E1700D3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FF1180"/>
    <w:multiLevelType w:val="hybridMultilevel"/>
    <w:tmpl w:val="0E063E4E"/>
    <w:lvl w:ilvl="0" w:tplc="E1700D3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DC3DFB"/>
    <w:multiLevelType w:val="hybridMultilevel"/>
    <w:tmpl w:val="23CE1ECC"/>
    <w:lvl w:ilvl="0" w:tplc="085041BC">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9558E4"/>
    <w:multiLevelType w:val="hybridMultilevel"/>
    <w:tmpl w:val="0C7064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8732F18"/>
    <w:multiLevelType w:val="hybridMultilevel"/>
    <w:tmpl w:val="D6F620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1E21C73"/>
    <w:multiLevelType w:val="hybridMultilevel"/>
    <w:tmpl w:val="57F48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AE2C0E"/>
    <w:multiLevelType w:val="hybridMultilevel"/>
    <w:tmpl w:val="BF000C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99029A4"/>
    <w:multiLevelType w:val="hybridMultilevel"/>
    <w:tmpl w:val="75F484AC"/>
    <w:lvl w:ilvl="0" w:tplc="E1700D3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4E1CDE"/>
    <w:multiLevelType w:val="hybridMultilevel"/>
    <w:tmpl w:val="2B164D2E"/>
    <w:lvl w:ilvl="0" w:tplc="01CC5C88">
      <w:start w:val="2024"/>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3844D75"/>
    <w:multiLevelType w:val="hybridMultilevel"/>
    <w:tmpl w:val="8FB6B3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F97631"/>
    <w:multiLevelType w:val="hybridMultilevel"/>
    <w:tmpl w:val="1D5C9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BE382F"/>
    <w:multiLevelType w:val="hybridMultilevel"/>
    <w:tmpl w:val="1E843530"/>
    <w:lvl w:ilvl="0" w:tplc="28B4F77E">
      <w:start w:val="2"/>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7EBB0E19"/>
    <w:multiLevelType w:val="hybridMultilevel"/>
    <w:tmpl w:val="ECF4DD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4481898">
    <w:abstractNumId w:val="8"/>
  </w:num>
  <w:num w:numId="2" w16cid:durableId="582032595">
    <w:abstractNumId w:val="10"/>
  </w:num>
  <w:num w:numId="3" w16cid:durableId="661735242">
    <w:abstractNumId w:val="2"/>
  </w:num>
  <w:num w:numId="4" w16cid:durableId="2111922839">
    <w:abstractNumId w:val="21"/>
  </w:num>
  <w:num w:numId="5" w16cid:durableId="871528909">
    <w:abstractNumId w:val="14"/>
  </w:num>
  <w:num w:numId="6" w16cid:durableId="1636762448">
    <w:abstractNumId w:val="15"/>
  </w:num>
  <w:num w:numId="7" w16cid:durableId="1648316981">
    <w:abstractNumId w:val="11"/>
  </w:num>
  <w:num w:numId="8" w16cid:durableId="679159631">
    <w:abstractNumId w:val="16"/>
  </w:num>
  <w:num w:numId="9" w16cid:durableId="170799553">
    <w:abstractNumId w:val="4"/>
  </w:num>
  <w:num w:numId="10" w16cid:durableId="782770766">
    <w:abstractNumId w:val="6"/>
  </w:num>
  <w:num w:numId="11" w16cid:durableId="354623978">
    <w:abstractNumId w:val="24"/>
  </w:num>
  <w:num w:numId="12" w16cid:durableId="845166347">
    <w:abstractNumId w:val="1"/>
  </w:num>
  <w:num w:numId="13" w16cid:durableId="1343048717">
    <w:abstractNumId w:val="0"/>
  </w:num>
  <w:num w:numId="14" w16cid:durableId="1154105234">
    <w:abstractNumId w:val="3"/>
  </w:num>
  <w:num w:numId="15" w16cid:durableId="709457856">
    <w:abstractNumId w:val="22"/>
  </w:num>
  <w:num w:numId="16" w16cid:durableId="1390112786">
    <w:abstractNumId w:val="9"/>
  </w:num>
  <w:num w:numId="17" w16cid:durableId="1725055839">
    <w:abstractNumId w:val="19"/>
  </w:num>
  <w:num w:numId="18" w16cid:durableId="750740035">
    <w:abstractNumId w:val="26"/>
  </w:num>
  <w:num w:numId="19" w16cid:durableId="1368407621">
    <w:abstractNumId w:val="7"/>
  </w:num>
  <w:num w:numId="20" w16cid:durableId="640379432">
    <w:abstractNumId w:val="12"/>
  </w:num>
  <w:num w:numId="21" w16cid:durableId="1125806724">
    <w:abstractNumId w:val="25"/>
  </w:num>
  <w:num w:numId="22" w16cid:durableId="272129130">
    <w:abstractNumId w:val="13"/>
  </w:num>
  <w:num w:numId="23" w16cid:durableId="21438251">
    <w:abstractNumId w:val="23"/>
  </w:num>
  <w:num w:numId="24" w16cid:durableId="377291055">
    <w:abstractNumId w:val="20"/>
  </w:num>
  <w:num w:numId="25" w16cid:durableId="369692906">
    <w:abstractNumId w:val="5"/>
  </w:num>
  <w:num w:numId="26" w16cid:durableId="1947618072">
    <w:abstractNumId w:val="18"/>
  </w:num>
  <w:num w:numId="27" w16cid:durableId="16559093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014A6"/>
    <w:rsid w:val="00022769"/>
    <w:rsid w:val="00030371"/>
    <w:rsid w:val="00041165"/>
    <w:rsid w:val="00045287"/>
    <w:rsid w:val="00050ED7"/>
    <w:rsid w:val="00055E10"/>
    <w:rsid w:val="00073435"/>
    <w:rsid w:val="00080F10"/>
    <w:rsid w:val="000C0A07"/>
    <w:rsid w:val="000D5CAF"/>
    <w:rsid w:val="000E2F9E"/>
    <w:rsid w:val="000E4810"/>
    <w:rsid w:val="000F2824"/>
    <w:rsid w:val="000F3BF2"/>
    <w:rsid w:val="000F7771"/>
    <w:rsid w:val="00112B9D"/>
    <w:rsid w:val="00120FA2"/>
    <w:rsid w:val="001279A2"/>
    <w:rsid w:val="00147EB2"/>
    <w:rsid w:val="00153DC5"/>
    <w:rsid w:val="0016124F"/>
    <w:rsid w:val="001834BC"/>
    <w:rsid w:val="001932F2"/>
    <w:rsid w:val="001A0C99"/>
    <w:rsid w:val="001A767F"/>
    <w:rsid w:val="001B0F7C"/>
    <w:rsid w:val="00207267"/>
    <w:rsid w:val="00220402"/>
    <w:rsid w:val="00286B9C"/>
    <w:rsid w:val="00294BDA"/>
    <w:rsid w:val="002977FE"/>
    <w:rsid w:val="002C4C7E"/>
    <w:rsid w:val="002D668D"/>
    <w:rsid w:val="002F3C81"/>
    <w:rsid w:val="002F6CB7"/>
    <w:rsid w:val="003024F6"/>
    <w:rsid w:val="003070AB"/>
    <w:rsid w:val="0031710E"/>
    <w:rsid w:val="00336323"/>
    <w:rsid w:val="0035252A"/>
    <w:rsid w:val="00360BF1"/>
    <w:rsid w:val="00373700"/>
    <w:rsid w:val="00383EC4"/>
    <w:rsid w:val="00392B75"/>
    <w:rsid w:val="003A0CFE"/>
    <w:rsid w:val="003A4EF2"/>
    <w:rsid w:val="003C0A9F"/>
    <w:rsid w:val="003D79D3"/>
    <w:rsid w:val="00403847"/>
    <w:rsid w:val="00404FB1"/>
    <w:rsid w:val="0041443E"/>
    <w:rsid w:val="004227E7"/>
    <w:rsid w:val="004319FE"/>
    <w:rsid w:val="00442DB1"/>
    <w:rsid w:val="004564C5"/>
    <w:rsid w:val="0046607B"/>
    <w:rsid w:val="004668EF"/>
    <w:rsid w:val="004861CD"/>
    <w:rsid w:val="00495090"/>
    <w:rsid w:val="004D5DC8"/>
    <w:rsid w:val="004E2A04"/>
    <w:rsid w:val="00512FBF"/>
    <w:rsid w:val="00534084"/>
    <w:rsid w:val="0054007D"/>
    <w:rsid w:val="00547EBD"/>
    <w:rsid w:val="0055103D"/>
    <w:rsid w:val="00564B04"/>
    <w:rsid w:val="00566F5B"/>
    <w:rsid w:val="00587964"/>
    <w:rsid w:val="005940F3"/>
    <w:rsid w:val="00597B38"/>
    <w:rsid w:val="005C5A9E"/>
    <w:rsid w:val="005F7085"/>
    <w:rsid w:val="00611CA4"/>
    <w:rsid w:val="00657502"/>
    <w:rsid w:val="00672798"/>
    <w:rsid w:val="0067331E"/>
    <w:rsid w:val="006A506A"/>
    <w:rsid w:val="006B4C4D"/>
    <w:rsid w:val="006B4D47"/>
    <w:rsid w:val="006B7517"/>
    <w:rsid w:val="006D5DF5"/>
    <w:rsid w:val="00702569"/>
    <w:rsid w:val="00706D57"/>
    <w:rsid w:val="00731E9B"/>
    <w:rsid w:val="0073406A"/>
    <w:rsid w:val="00734EAE"/>
    <w:rsid w:val="00775203"/>
    <w:rsid w:val="00794FFE"/>
    <w:rsid w:val="007B280C"/>
    <w:rsid w:val="007B7694"/>
    <w:rsid w:val="007B7C26"/>
    <w:rsid w:val="007C7653"/>
    <w:rsid w:val="00804C57"/>
    <w:rsid w:val="00816B96"/>
    <w:rsid w:val="00835F86"/>
    <w:rsid w:val="00845159"/>
    <w:rsid w:val="008464BC"/>
    <w:rsid w:val="00846AD0"/>
    <w:rsid w:val="00870B2E"/>
    <w:rsid w:val="008833FC"/>
    <w:rsid w:val="008A748C"/>
    <w:rsid w:val="008B0A68"/>
    <w:rsid w:val="008D46CB"/>
    <w:rsid w:val="009166E7"/>
    <w:rsid w:val="00935A29"/>
    <w:rsid w:val="009404C2"/>
    <w:rsid w:val="009443D7"/>
    <w:rsid w:val="00946980"/>
    <w:rsid w:val="00947E8A"/>
    <w:rsid w:val="009737BB"/>
    <w:rsid w:val="00985521"/>
    <w:rsid w:val="009A19FC"/>
    <w:rsid w:val="009A73FB"/>
    <w:rsid w:val="009F0979"/>
    <w:rsid w:val="009F4D3A"/>
    <w:rsid w:val="00A04BDC"/>
    <w:rsid w:val="00A34937"/>
    <w:rsid w:val="00A367A2"/>
    <w:rsid w:val="00A37219"/>
    <w:rsid w:val="00A55D7E"/>
    <w:rsid w:val="00A83210"/>
    <w:rsid w:val="00AA63E4"/>
    <w:rsid w:val="00AC4F88"/>
    <w:rsid w:val="00AC6C71"/>
    <w:rsid w:val="00AD6EF7"/>
    <w:rsid w:val="00AE13EC"/>
    <w:rsid w:val="00B06837"/>
    <w:rsid w:val="00B3306B"/>
    <w:rsid w:val="00B46523"/>
    <w:rsid w:val="00B61EF3"/>
    <w:rsid w:val="00B927EB"/>
    <w:rsid w:val="00BB119A"/>
    <w:rsid w:val="00BC3911"/>
    <w:rsid w:val="00C12890"/>
    <w:rsid w:val="00C13B2D"/>
    <w:rsid w:val="00C24C94"/>
    <w:rsid w:val="00C2730A"/>
    <w:rsid w:val="00C310A7"/>
    <w:rsid w:val="00C415D2"/>
    <w:rsid w:val="00C6722B"/>
    <w:rsid w:val="00C73C8F"/>
    <w:rsid w:val="00C93E5E"/>
    <w:rsid w:val="00CA2E4A"/>
    <w:rsid w:val="00CA4B0D"/>
    <w:rsid w:val="00CC3EF2"/>
    <w:rsid w:val="00CF7327"/>
    <w:rsid w:val="00D03FEE"/>
    <w:rsid w:val="00D25802"/>
    <w:rsid w:val="00D3013F"/>
    <w:rsid w:val="00D4184D"/>
    <w:rsid w:val="00DB072A"/>
    <w:rsid w:val="00E144DA"/>
    <w:rsid w:val="00E35B0A"/>
    <w:rsid w:val="00E379AC"/>
    <w:rsid w:val="00E57862"/>
    <w:rsid w:val="00EB27C7"/>
    <w:rsid w:val="00F17D99"/>
    <w:rsid w:val="00F40780"/>
    <w:rsid w:val="00F5530B"/>
    <w:rsid w:val="00F64F29"/>
    <w:rsid w:val="00F805B9"/>
    <w:rsid w:val="00F9267A"/>
    <w:rsid w:val="00FA1B98"/>
    <w:rsid w:val="00FB20D7"/>
    <w:rsid w:val="00FB74B4"/>
    <w:rsid w:val="00FC5549"/>
    <w:rsid w:val="00FC6588"/>
    <w:rsid w:val="00FD5698"/>
    <w:rsid w:val="0E5707B7"/>
    <w:rsid w:val="2082B7DA"/>
    <w:rsid w:val="36931E27"/>
    <w:rsid w:val="5CA8A921"/>
    <w:rsid w:val="5EA987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C6DC5"/>
  <w15:chartTrackingRefBased/>
  <w15:docId w15:val="{BE3B260F-3414-47F0-BE9A-F778E218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27C7"/>
    <w:pPr>
      <w:autoSpaceDE w:val="0"/>
      <w:autoSpaceDN w:val="0"/>
      <w:adjustRightInd w:val="0"/>
      <w:spacing w:after="0" w:line="240" w:lineRule="auto"/>
    </w:pPr>
    <w:rPr>
      <w:rFonts w:ascii="Aptos" w:hAnsi="Aptos" w:cs="Aptos"/>
      <w:color w:val="000000"/>
      <w:kern w:val="0"/>
      <w:sz w:val="24"/>
      <w:szCs w:val="24"/>
    </w:rPr>
  </w:style>
  <w:style w:type="character" w:styleId="Lienhypertexte">
    <w:name w:val="Hyperlink"/>
    <w:basedOn w:val="Policepardfaut"/>
    <w:uiPriority w:val="99"/>
    <w:unhideWhenUsed/>
    <w:rsid w:val="000E2F9E"/>
    <w:rPr>
      <w:color w:val="0000FF"/>
      <w:u w:val="single"/>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F17D99"/>
    <w:pPr>
      <w:spacing w:after="0" w:line="240" w:lineRule="auto"/>
    </w:pPr>
  </w:style>
  <w:style w:type="character" w:customStyle="1" w:styleId="Mentionnonrsolue1">
    <w:name w:val="Mention non résolue1"/>
    <w:basedOn w:val="Policepardfaut"/>
    <w:uiPriority w:val="99"/>
    <w:semiHidden/>
    <w:unhideWhenUsed/>
    <w:rsid w:val="00E35B0A"/>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55103D"/>
    <w:rPr>
      <w:b/>
      <w:bCs/>
    </w:rPr>
  </w:style>
  <w:style w:type="character" w:customStyle="1" w:styleId="ObjetducommentaireCar">
    <w:name w:val="Objet du commentaire Car"/>
    <w:basedOn w:val="CommentaireCar"/>
    <w:link w:val="Objetducommentaire"/>
    <w:uiPriority w:val="99"/>
    <w:semiHidden/>
    <w:rsid w:val="0055103D"/>
    <w:rPr>
      <w:b/>
      <w:bCs/>
      <w:sz w:val="20"/>
      <w:szCs w:val="20"/>
    </w:rPr>
  </w:style>
  <w:style w:type="paragraph" w:styleId="Textedebulles">
    <w:name w:val="Balloon Text"/>
    <w:basedOn w:val="Normal"/>
    <w:link w:val="TextedebullesCar"/>
    <w:uiPriority w:val="99"/>
    <w:semiHidden/>
    <w:unhideWhenUsed/>
    <w:rsid w:val="005510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10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190347">
      <w:bodyDiv w:val="1"/>
      <w:marLeft w:val="0"/>
      <w:marRight w:val="0"/>
      <w:marTop w:val="0"/>
      <w:marBottom w:val="0"/>
      <w:divBdr>
        <w:top w:val="none" w:sz="0" w:space="0" w:color="auto"/>
        <w:left w:val="none" w:sz="0" w:space="0" w:color="auto"/>
        <w:bottom w:val="none" w:sz="0" w:space="0" w:color="auto"/>
        <w:right w:val="none" w:sz="0" w:space="0" w:color="auto"/>
      </w:divBdr>
    </w:div>
    <w:div w:id="281619503">
      <w:bodyDiv w:val="1"/>
      <w:marLeft w:val="0"/>
      <w:marRight w:val="0"/>
      <w:marTop w:val="0"/>
      <w:marBottom w:val="0"/>
      <w:divBdr>
        <w:top w:val="none" w:sz="0" w:space="0" w:color="auto"/>
        <w:left w:val="none" w:sz="0" w:space="0" w:color="auto"/>
        <w:bottom w:val="none" w:sz="0" w:space="0" w:color="auto"/>
        <w:right w:val="none" w:sz="0" w:space="0" w:color="auto"/>
      </w:divBdr>
    </w:div>
    <w:div w:id="1061363472">
      <w:bodyDiv w:val="1"/>
      <w:marLeft w:val="0"/>
      <w:marRight w:val="0"/>
      <w:marTop w:val="0"/>
      <w:marBottom w:val="0"/>
      <w:divBdr>
        <w:top w:val="none" w:sz="0" w:space="0" w:color="auto"/>
        <w:left w:val="none" w:sz="0" w:space="0" w:color="auto"/>
        <w:bottom w:val="none" w:sz="0" w:space="0" w:color="auto"/>
        <w:right w:val="none" w:sz="0" w:space="0" w:color="auto"/>
      </w:divBdr>
    </w:div>
    <w:div w:id="1187914342">
      <w:bodyDiv w:val="1"/>
      <w:marLeft w:val="0"/>
      <w:marRight w:val="0"/>
      <w:marTop w:val="0"/>
      <w:marBottom w:val="0"/>
      <w:divBdr>
        <w:top w:val="none" w:sz="0" w:space="0" w:color="auto"/>
        <w:left w:val="none" w:sz="0" w:space="0" w:color="auto"/>
        <w:bottom w:val="none" w:sz="0" w:space="0" w:color="auto"/>
        <w:right w:val="none" w:sz="0" w:space="0" w:color="auto"/>
      </w:divBdr>
    </w:div>
    <w:div w:id="1349210411">
      <w:bodyDiv w:val="1"/>
      <w:marLeft w:val="0"/>
      <w:marRight w:val="0"/>
      <w:marTop w:val="0"/>
      <w:marBottom w:val="0"/>
      <w:divBdr>
        <w:top w:val="none" w:sz="0" w:space="0" w:color="auto"/>
        <w:left w:val="none" w:sz="0" w:space="0" w:color="auto"/>
        <w:bottom w:val="none" w:sz="0" w:space="0" w:color="auto"/>
        <w:right w:val="none" w:sz="0" w:space="0" w:color="auto"/>
      </w:divBdr>
    </w:div>
    <w:div w:id="155157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odiversite.grandest.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864</Words>
  <Characters>4757</Characters>
  <Application>Microsoft Office Word</Application>
  <DocSecurity>0</DocSecurity>
  <Lines>39</Lines>
  <Paragraphs>11</Paragraphs>
  <ScaleCrop>false</ScaleCrop>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CROMBECQUE</dc:creator>
  <cp:keywords/>
  <dc:description/>
  <cp:lastModifiedBy>Mélanie CROMBECQUE</cp:lastModifiedBy>
  <cp:revision>109</cp:revision>
  <cp:lastPrinted>2024-06-27T06:31:00Z</cp:lastPrinted>
  <dcterms:created xsi:type="dcterms:W3CDTF">2024-07-02T07:18:00Z</dcterms:created>
  <dcterms:modified xsi:type="dcterms:W3CDTF">2024-10-04T13:45:00Z</dcterms:modified>
</cp:coreProperties>
</file>